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nr.1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9641DF" w:rsidRPr="00C97739" w:rsidRDefault="009641DF" w:rsidP="009641DF">
      <w:pPr>
        <w:ind w:firstLine="567"/>
        <w:jc w:val="right"/>
        <w:rPr>
          <w:sz w:val="20"/>
          <w:szCs w:val="20"/>
          <w:lang w:val="ro-RO"/>
        </w:rPr>
      </w:pP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__________________________________</w:t>
      </w:r>
    </w:p>
    <w:p w:rsidR="009641DF" w:rsidRPr="00C97739" w:rsidRDefault="009641DF" w:rsidP="009641DF">
      <w:pPr>
        <w:spacing w:after="120"/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>(numele, prenumele managerului entităţii publice)</w:t>
      </w:r>
    </w:p>
    <w:p w:rsidR="009641DF" w:rsidRPr="00C97739" w:rsidRDefault="009641DF" w:rsidP="009641DF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“____” ________________ 20____</w:t>
      </w:r>
    </w:p>
    <w:p w:rsidR="009641DF" w:rsidRPr="00C97739" w:rsidRDefault="009641DF" w:rsidP="009641DF">
      <w:pPr>
        <w:ind w:firstLine="567"/>
        <w:jc w:val="both"/>
        <w:rPr>
          <w:sz w:val="20"/>
          <w:szCs w:val="20"/>
          <w:lang w:val="ro-RO"/>
        </w:rPr>
      </w:pPr>
    </w:p>
    <w:p w:rsidR="009641DF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9641DF" w:rsidRPr="00C97739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entități)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INFORMAȚII GENERALE</w:t>
            </w:r>
          </w:p>
        </w:tc>
      </w:tr>
      <w:tr w:rsidR="009641DF" w:rsidRPr="00C97739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470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angajaților: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acțiuni: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07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achiziții publice: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230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 xml:space="preserve">Instruirile (cursurile de perfecționare / seminarele / specializările) </w:t>
            </w:r>
            <w:r w:rsidRPr="00C97739">
              <w:rPr>
                <w:bCs/>
                <w:sz w:val="20"/>
                <w:szCs w:val="20"/>
                <w:lang w:val="ro-RO"/>
              </w:rPr>
              <w:lastRenderedPageBreak/>
              <w:t>specifice în domeniul CIM: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204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B27A5B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  <w:vAlign w:val="center"/>
          </w:tcPr>
          <w:p w:rsidR="009641DF" w:rsidRPr="00C97739" w:rsidRDefault="009641DF" w:rsidP="00B27A5B">
            <w:pPr>
              <w:pStyle w:val="ListParagraph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9641DF" w:rsidRPr="00C97739" w:rsidRDefault="009641DF" w:rsidP="00B27A5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9641DF" w:rsidRPr="00C97739" w:rsidRDefault="009641DF" w:rsidP="00B27A5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</w:t>
            </w: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vMerge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935" w:type="dxa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9641DF" w:rsidRPr="00C97739" w:rsidRDefault="009641DF" w:rsidP="00B27A5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1. Etica și integritatea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angajaților entităţii publice. Existăconfirmări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 w:val="restart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270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 w:val="restart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36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față de competență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analizate și stabilite cunoștințele și aptitudinile necesare a fi deținute în vederea îndeplinirii sarcinilor /atribuțiilor asociate fiecărui post?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474"/>
        </w:trPr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DC4858" w:rsidTr="00B27A5B">
        <w:trPr>
          <w:trHeight w:val="47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DC4858" w:rsidTr="00B27A5B">
        <w:trPr>
          <w:trHeight w:val="55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556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aîmputernicirilor?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4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538"/>
        </w:trPr>
        <w:tc>
          <w:tcPr>
            <w:tcW w:w="6647" w:type="dxa"/>
            <w:gridSpan w:val="2"/>
            <w:vAlign w:val="center"/>
          </w:tcPr>
          <w:p w:rsidR="009641DF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8. Planificarea, monitorizarea şi raportarea privind performanțele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acțiuni se evaluează, monitorizează şi raportează: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trimestrial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385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excepțiilor /erorilor către superiori?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41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a identificat și dispune de o listă a tuturor proceselor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de bază?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care au fost motivele: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4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vertAlign w:val="superscript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9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91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Colectarea, prelucrarea, centralizarea, transmiterea și stocarea informațiilor se realizează în sisteminformațional pentru domeniile: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52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14. Comunicarea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Structura organizațională asigură funcționarea circuitelor și fluxurilor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3E379D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Indicați numărul recomandărilor: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9641DF" w:rsidRPr="00C97739" w:rsidRDefault="009641DF" w:rsidP="00B27A5B">
            <w:pPr>
              <w:pStyle w:val="ListParagraph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9641DF" w:rsidRPr="00C97739" w:rsidRDefault="009641DF" w:rsidP="00B27A5B">
            <w:pPr>
              <w:pStyle w:val="ListParagraph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9641DF" w:rsidRPr="00C97739" w:rsidRDefault="009641DF" w:rsidP="00B27A5B">
            <w:pPr>
              <w:ind w:left="360"/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- oferite;</w:t>
            </w:r>
          </w:p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       - implementate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FINANȚE ŞI TEHNOLOGII INFORMAŢIONALE</w:t>
            </w: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Planificarea și executarea bugetului</w:t>
            </w:r>
          </w:p>
        </w:tc>
      </w:tr>
      <w:tr w:rsidR="009641DF" w:rsidRPr="00232034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Cerințeleaferente procesului bugetarsunt respectate?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47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Evidența contabilă și patrimoniu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450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B27A5B">
        <w:trPr>
          <w:trHeight w:val="417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Achiziţii publice și executarea contractelor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respectă reglementările pentru atribuirea contractelor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Contractele sunt executate în termen și în limita valoriiacestora 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64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rStyle w:val="CommentReference"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278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  <w:vMerge w:val="restart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descrieți cauza și indicați:</w:t>
            </w:r>
          </w:p>
          <w:p w:rsidR="009641DF" w:rsidRPr="00C97739" w:rsidRDefault="009641DF" w:rsidP="00B27A5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  <w:vMerge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5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B27A5B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14879" w:type="dxa"/>
            <w:gridSpan w:val="8"/>
            <w:vAlign w:val="center"/>
          </w:tcPr>
          <w:p w:rsidR="009641DF" w:rsidRPr="00C97739" w:rsidRDefault="009641DF" w:rsidP="00B27A5B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lastRenderedPageBreak/>
              <w:t>Tehnologii informaţionale</w:t>
            </w: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informaționale, îi este interzis să inițiezetranzacții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9641DF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c>
          <w:tcPr>
            <w:tcW w:w="672" w:type="dxa"/>
          </w:tcPr>
          <w:p w:rsidR="009641DF" w:rsidRPr="00C97739" w:rsidRDefault="009641DF" w:rsidP="00B27A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B27A5B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B27A5B">
        <w:trPr>
          <w:trHeight w:val="63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B27A5B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B27A5B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9641DF" w:rsidRPr="00C97739" w:rsidRDefault="009641DF" w:rsidP="009641DF">
      <w:pPr>
        <w:spacing w:line="360" w:lineRule="auto"/>
        <w:rPr>
          <w:i/>
          <w:sz w:val="20"/>
          <w:szCs w:val="20"/>
          <w:lang w:val="ro-RO"/>
        </w:rPr>
      </w:pPr>
    </w:p>
    <w:p w:rsidR="009641DF" w:rsidRPr="00A47C59" w:rsidRDefault="009641DF" w:rsidP="009641DF">
      <w:pPr>
        <w:rPr>
          <w:bCs/>
          <w:sz w:val="20"/>
          <w:szCs w:val="20"/>
          <w:lang w:val="ro-RO"/>
        </w:rPr>
      </w:pPr>
      <w:r w:rsidRPr="00A47C59">
        <w:rPr>
          <w:bCs/>
          <w:sz w:val="20"/>
          <w:szCs w:val="20"/>
          <w:lang w:val="ro-RO"/>
        </w:rPr>
        <w:t>Notă:*Un post este considerat ca fiind sensibil dacă, de regulă, prezintă riscuri semnificative de delapidare / fraudă / corupție. De asemenea, se consideră a fi posturi sensibile posturile care au atribuţii de control, efectuează activitatea în relație directă cu beneficiarul (cetăţeni sau agenți economici)</w:t>
      </w:r>
      <w:r>
        <w:rPr>
          <w:bCs/>
          <w:sz w:val="20"/>
          <w:szCs w:val="20"/>
          <w:lang w:val="ro-RO"/>
        </w:rPr>
        <w:t>.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p w:rsidR="009641DF" w:rsidRPr="000A7C12" w:rsidRDefault="009641DF" w:rsidP="009641DF">
      <w:pPr>
        <w:spacing w:line="360" w:lineRule="auto"/>
        <w:rPr>
          <w:bCs/>
          <w:sz w:val="14"/>
          <w:szCs w:val="20"/>
          <w:lang w:val="ro-RO"/>
        </w:rPr>
      </w:pPr>
    </w:p>
    <w:p w:rsidR="009641DF" w:rsidRPr="00C97739" w:rsidRDefault="009641DF" w:rsidP="009641DF">
      <w:pPr>
        <w:ind w:firstLine="567"/>
        <w:jc w:val="both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Nume, prenume/ Funcţia/ Semnătura</w:t>
      </w:r>
      <w:r w:rsidRPr="00C97739">
        <w:rPr>
          <w:sz w:val="20"/>
          <w:szCs w:val="20"/>
          <w:lang w:val="ro-RO"/>
        </w:rPr>
        <w:t> </w:t>
      </w:r>
    </w:p>
    <w:p w:rsidR="009641DF" w:rsidRPr="00C97739" w:rsidRDefault="009641DF" w:rsidP="009641DF">
      <w:pPr>
        <w:rPr>
          <w:sz w:val="20"/>
          <w:szCs w:val="20"/>
          <w:lang w:val="ro-RO"/>
        </w:rPr>
      </w:pPr>
    </w:p>
    <w:sectPr w:rsidR="009641DF" w:rsidRPr="00C97739" w:rsidSect="009641D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41DF"/>
    <w:rsid w:val="00147F56"/>
    <w:rsid w:val="00590B64"/>
    <w:rsid w:val="009641DF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64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4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64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1D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964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641DF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96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41DF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641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641DF"/>
  </w:style>
  <w:style w:type="paragraph" w:styleId="BodyText">
    <w:name w:val="Body Text"/>
    <w:basedOn w:val="Normal"/>
    <w:link w:val="BodyTextChar"/>
    <w:rsid w:val="009641DF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641DF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rsid w:val="009641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9641D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6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41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Normal"/>
    <w:rsid w:val="009641DF"/>
    <w:pPr>
      <w:jc w:val="center"/>
    </w:pPr>
    <w:rPr>
      <w:b/>
      <w:bCs/>
    </w:rPr>
  </w:style>
  <w:style w:type="paragraph" w:customStyle="1" w:styleId="pb">
    <w:name w:val="pb"/>
    <w:basedOn w:val="Normal"/>
    <w:rsid w:val="009641DF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9641DF"/>
    <w:pPr>
      <w:jc w:val="center"/>
    </w:pPr>
  </w:style>
  <w:style w:type="paragraph" w:customStyle="1" w:styleId="sm">
    <w:name w:val="sm"/>
    <w:basedOn w:val="Normal"/>
    <w:rsid w:val="009641DF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Normal"/>
    <w:rsid w:val="009641DF"/>
    <w:pPr>
      <w:jc w:val="center"/>
    </w:pPr>
    <w:rPr>
      <w:b/>
      <w:bCs/>
    </w:rPr>
  </w:style>
  <w:style w:type="paragraph" w:customStyle="1" w:styleId="rg">
    <w:name w:val="rg"/>
    <w:basedOn w:val="Normal"/>
    <w:rsid w:val="009641DF"/>
    <w:pPr>
      <w:jc w:val="right"/>
    </w:pPr>
  </w:style>
  <w:style w:type="paragraph" w:customStyle="1" w:styleId="lf">
    <w:name w:val="lf"/>
    <w:basedOn w:val="Normal"/>
    <w:rsid w:val="009641DF"/>
  </w:style>
  <w:style w:type="paragraph" w:styleId="FootnoteText">
    <w:name w:val="footnote text"/>
    <w:basedOn w:val="Normal"/>
    <w:link w:val="FootnoteTextChar"/>
    <w:rsid w:val="00964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rsid w:val="009641DF"/>
    <w:rPr>
      <w:vertAlign w:val="superscript"/>
    </w:rPr>
  </w:style>
  <w:style w:type="paragraph" w:customStyle="1" w:styleId="cp">
    <w:name w:val="cp"/>
    <w:basedOn w:val="Normal"/>
    <w:rsid w:val="009641DF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964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64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1DF"/>
    <w:rPr>
      <w:b/>
      <w:bCs/>
    </w:rPr>
  </w:style>
  <w:style w:type="paragraph" w:styleId="Revision">
    <w:name w:val="Revision"/>
    <w:hidden/>
    <w:uiPriority w:val="99"/>
    <w:semiHidden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641DF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Normal"/>
    <w:rsid w:val="009641DF"/>
    <w:pPr>
      <w:spacing w:before="100" w:beforeAutospacing="1" w:after="100" w:afterAutospacing="1"/>
    </w:pPr>
  </w:style>
  <w:style w:type="paragraph" w:customStyle="1" w:styleId="ttsp">
    <w:name w:val="tt_sp"/>
    <w:basedOn w:val="Normal"/>
    <w:rsid w:val="009641DF"/>
    <w:pPr>
      <w:spacing w:before="100" w:beforeAutospacing="1" w:after="100" w:afterAutospacing="1"/>
    </w:pPr>
  </w:style>
  <w:style w:type="paragraph" w:customStyle="1" w:styleId="emit">
    <w:name w:val="emit"/>
    <w:basedOn w:val="Normal"/>
    <w:rsid w:val="009641DF"/>
    <w:pPr>
      <w:spacing w:before="100" w:beforeAutospacing="1" w:after="100" w:afterAutospacing="1"/>
    </w:pPr>
  </w:style>
  <w:style w:type="paragraph" w:customStyle="1" w:styleId="md">
    <w:name w:val="md"/>
    <w:basedOn w:val="Normal"/>
    <w:rsid w:val="009641DF"/>
    <w:pPr>
      <w:spacing w:before="100" w:beforeAutospacing="1" w:after="100" w:afterAutospacing="1"/>
    </w:pPr>
  </w:style>
  <w:style w:type="character" w:customStyle="1" w:styleId="field-content">
    <w:name w:val="field-content"/>
    <w:basedOn w:val="DefaultParagraphFont"/>
    <w:rsid w:val="009641DF"/>
  </w:style>
  <w:style w:type="paragraph" w:customStyle="1" w:styleId="Default">
    <w:name w:val="Default"/>
    <w:rsid w:val="009641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964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2019-01-21T12:41:00Z</dcterms:created>
  <dcterms:modified xsi:type="dcterms:W3CDTF">2019-01-21T12:42:00Z</dcterms:modified>
</cp:coreProperties>
</file>